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香河县委宣传部</w:t>
      </w:r>
      <w:r>
        <w:rPr>
          <w:rFonts w:hint="eastAsia" w:cs="Times New Roman" w:asciiTheme="majorEastAsia" w:hAnsiTheme="majorEastAsia" w:eastAsiaTheme="majorEastAsia"/>
          <w:b/>
          <w:sz w:val="44"/>
          <w:szCs w:val="44"/>
          <w:lang w:eastAsia="zh-CN"/>
        </w:rPr>
        <w:t>2019年</w:t>
      </w:r>
      <w:r>
        <w:rPr>
          <w:rFonts w:cs="Times New Roman" w:asciiTheme="majorEastAsia" w:hAnsiTheme="majorEastAsia" w:eastAsiaTheme="majorEastAsia"/>
          <w:b/>
          <w:sz w:val="44"/>
          <w:szCs w:val="44"/>
        </w:rPr>
        <w:t>部门预算信息公开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香河县委宣传部</w:t>
      </w:r>
      <w:r>
        <w:rPr>
          <w:rFonts w:hint="eastAsia" w:ascii="仿宋" w:hAnsi="仿宋" w:eastAsia="仿宋" w:cs="Times New Roman"/>
          <w:sz w:val="32"/>
          <w:szCs w:val="32"/>
          <w:lang w:eastAsia="zh-CN"/>
        </w:rPr>
        <w:t>2019年</w:t>
      </w:r>
      <w:r>
        <w:rPr>
          <w:rFonts w:ascii="仿宋" w:hAnsi="仿宋" w:eastAsia="仿宋" w:cs="Times New Roman"/>
          <w:sz w:val="32"/>
          <w:szCs w:val="32"/>
        </w:rPr>
        <w:t>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pStyle w:val="15"/>
        <w:spacing w:line="500" w:lineRule="exact"/>
        <w:ind w:firstLine="639"/>
        <w:rPr>
          <w:rFonts w:ascii="仿宋_GB2312" w:hAnsi="穝灿砰" w:eastAsia="仿宋_GB2312"/>
          <w:sz w:val="32"/>
          <w:szCs w:val="32"/>
        </w:rPr>
      </w:pPr>
      <w:r>
        <w:rPr>
          <w:rFonts w:hint="eastAsia" w:ascii="仿宋_GB2312" w:hAnsi="穝灿砰" w:eastAsia="仿宋_GB2312"/>
          <w:sz w:val="32"/>
          <w:szCs w:val="32"/>
        </w:rPr>
        <w:t>（一）以邓小平理论、“三个代表”重要思想为指导，坚持以科学的理论武装人，以正确的舆论引导人，以高尚的精神塑造人，以优秀的作品鼓舞人。</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（二）贯彻执行党的基本路线，宣传马列主义、毛泽东思想；宣传党的路线方针政策及各个时期的形势、任务。</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（三）负责全县理论学习、理论宣传、理论研究工作；负责县委中心组理论学习和有关工作，负责基层党员教育。</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（四）负责全县精神文明建设，组织指导全县农村、城区群众性精神文明创建活动。</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（五）负责引导社会舆论，负责政治方向、方针政策的指导和实施，协助县委加强对广播电视、国防教育办等部门的指导与协调，用社会主义思想占领意识形态阵地。</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（六）加强和开展全县思想政治工作；负责全县政工师评定工作；负责爱国主义教育基地建设、管理和使用；负责全县先进典型的学习和推广。</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（七）按照干部管理权限，负责全县宣传文化系统股级干部的管理，组织宣传文化系统干部和业务骨干的培训，会同县委组织部管理宣传文化系统科级干部。</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（八）负责开展新闻宣传和对外宣传，加强新闻队伍建设，抓好宣传工作。</w:t>
      </w:r>
    </w:p>
    <w:p>
      <w:pPr>
        <w:pStyle w:val="15"/>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rPr>
        <w:t>（九）宏观指导全县精神产品生产和文化市场的管理，协助县委加强对文体、文联工作的指导与协调。</w:t>
      </w:r>
    </w:p>
    <w:p>
      <w:pPr>
        <w:pStyle w:val="15"/>
        <w:spacing w:line="500" w:lineRule="exact"/>
        <w:ind w:left="0" w:firstLine="640" w:firstLineChars="200"/>
        <w:rPr>
          <w:rFonts w:ascii="仿宋" w:hAnsi="仿宋" w:eastAsia="仿宋" w:cs="Times New Roman"/>
          <w:sz w:val="32"/>
          <w:szCs w:val="32"/>
        </w:rPr>
      </w:pPr>
      <w:r>
        <w:rPr>
          <w:rFonts w:hint="eastAsia" w:ascii="仿宋_GB2312" w:eastAsia="仿宋_GB2312"/>
          <w:sz w:val="32"/>
          <w:szCs w:val="32"/>
        </w:rPr>
        <w:t>（十）承办县委、市委宣传部、市文明办交办的重要事项。</w:t>
      </w:r>
    </w:p>
    <w:p>
      <w:pPr>
        <w:ind w:firstLine="643" w:firstLineChars="200"/>
        <w:rPr>
          <w:rFonts w:ascii="仿宋" w:hAnsi="仿宋" w:eastAsia="仿宋" w:cs="Times New Roman"/>
          <w:sz w:val="32"/>
          <w:szCs w:val="24"/>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中共香河县委宣传部</w:t>
            </w:r>
          </w:p>
        </w:tc>
        <w:tc>
          <w:tcPr>
            <w:tcW w:w="1134" w:type="dxa"/>
            <w:shd w:val="clear" w:color="auto" w:fill="auto"/>
            <w:vAlign w:val="center"/>
          </w:tcPr>
          <w:p>
            <w:pPr>
              <w:spacing w:line="300" w:lineRule="exact"/>
              <w:ind w:firstLine="210" w:firstLineChars="100"/>
              <w:jc w:val="left"/>
              <w:rPr>
                <w:rFonts w:ascii="Times New Roman" w:hAnsi="Times New Roman" w:eastAsia="方正书宋_GBK" w:cs="Times New Roman"/>
                <w:szCs w:val="24"/>
              </w:rPr>
            </w:pPr>
            <w:r>
              <w:rPr>
                <w:rFonts w:hint="eastAsia" w:ascii="Times New Roman" w:hAnsi="Times New Roman" w:eastAsia="方正书宋_GBK"/>
                <w:szCs w:val="24"/>
              </w:rPr>
              <w:t>行政</w:t>
            </w:r>
          </w:p>
        </w:tc>
        <w:tc>
          <w:tcPr>
            <w:tcW w:w="1276" w:type="dxa"/>
            <w:shd w:val="clear" w:color="auto" w:fill="auto"/>
            <w:vAlign w:val="center"/>
          </w:tcPr>
          <w:p>
            <w:pPr>
              <w:spacing w:line="300" w:lineRule="exact"/>
              <w:ind w:firstLine="105" w:firstLineChars="50"/>
              <w:jc w:val="left"/>
              <w:rPr>
                <w:rFonts w:ascii="Times New Roman" w:hAnsi="Times New Roman" w:eastAsia="方正书宋_GBK" w:cs="Times New Roman"/>
                <w:szCs w:val="24"/>
              </w:rPr>
            </w:pPr>
            <w:r>
              <w:rPr>
                <w:rFonts w:hint="eastAsia" w:ascii="Times New Roman" w:hAnsi="Times New Roman" w:eastAsia="方正书宋_GBK"/>
                <w:szCs w:val="24"/>
              </w:rPr>
              <w:t>正科级</w:t>
            </w:r>
          </w:p>
        </w:tc>
        <w:tc>
          <w:tcPr>
            <w:tcW w:w="2902" w:type="dxa"/>
            <w:shd w:val="clear" w:color="auto" w:fill="auto"/>
            <w:vAlign w:val="center"/>
          </w:tcPr>
          <w:p>
            <w:pPr>
              <w:spacing w:line="300" w:lineRule="exact"/>
              <w:ind w:firstLine="315" w:firstLineChars="150"/>
              <w:jc w:val="left"/>
              <w:rPr>
                <w:rFonts w:ascii="Times New Roman" w:hAnsi="Times New Roman" w:eastAsia="方正书宋_GBK" w:cs="Times New Roman"/>
                <w:szCs w:val="24"/>
              </w:rPr>
            </w:pPr>
            <w:r>
              <w:rPr>
                <w:rFonts w:hint="eastAsia" w:ascii="Times New Roman" w:hAnsi="Times New Roman" w:eastAsia="方正书宋_GBK"/>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w:t>
      </w:r>
      <w:r>
        <w:rPr>
          <w:rFonts w:hint="eastAsia" w:ascii="仿宋" w:hAnsi="仿宋" w:eastAsia="仿宋" w:cs="Times New Roman"/>
          <w:sz w:val="32"/>
          <w:szCs w:val="32"/>
          <w:lang w:eastAsia="zh-CN"/>
        </w:rPr>
        <w:t>2019年</w:t>
      </w:r>
      <w:r>
        <w:rPr>
          <w:rFonts w:ascii="仿宋" w:hAnsi="仿宋" w:eastAsia="仿宋" w:cs="Times New Roman"/>
          <w:sz w:val="32"/>
          <w:szCs w:val="32"/>
        </w:rPr>
        <w:t>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1181.07</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1181.07</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1181.07</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）、上级补助收入0</w:t>
      </w:r>
      <w:r>
        <w:rPr>
          <w:rFonts w:ascii="仿宋" w:hAnsi="仿宋" w:eastAsia="仿宋" w:cs="Times New Roman"/>
          <w:sz w:val="32"/>
          <w:szCs w:val="32"/>
        </w:rPr>
        <w:t>万元</w:t>
      </w:r>
      <w:r>
        <w:rPr>
          <w:rFonts w:hint="eastAsia" w:ascii="仿宋" w:hAnsi="仿宋" w:eastAsia="仿宋" w:cs="Times New Roman"/>
          <w:sz w:val="32"/>
          <w:szCs w:val="32"/>
        </w:rPr>
        <w:t>、事业收入0</w:t>
      </w:r>
      <w:r>
        <w:rPr>
          <w:rFonts w:ascii="仿宋" w:hAnsi="仿宋" w:eastAsia="仿宋" w:cs="Times New Roman"/>
          <w:sz w:val="32"/>
          <w:szCs w:val="32"/>
        </w:rPr>
        <w:t>万元</w:t>
      </w:r>
      <w:r>
        <w:rPr>
          <w:rFonts w:hint="eastAsia" w:ascii="仿宋" w:hAnsi="仿宋" w:eastAsia="仿宋" w:cs="Times New Roman"/>
          <w:sz w:val="32"/>
          <w:szCs w:val="32"/>
        </w:rPr>
        <w:t>、经营收入0</w:t>
      </w:r>
      <w:r>
        <w:rPr>
          <w:rFonts w:ascii="仿宋" w:hAnsi="仿宋" w:eastAsia="仿宋" w:cs="Times New Roman"/>
          <w:sz w:val="32"/>
          <w:szCs w:val="32"/>
        </w:rPr>
        <w:t>万元</w:t>
      </w:r>
      <w:r>
        <w:rPr>
          <w:rFonts w:hint="eastAsia" w:ascii="仿宋" w:hAnsi="仿宋" w:eastAsia="仿宋" w:cs="Times New Roman"/>
          <w:sz w:val="32"/>
          <w:szCs w:val="32"/>
        </w:rPr>
        <w:t>、附属单位上缴收入0</w:t>
      </w:r>
      <w:r>
        <w:rPr>
          <w:rFonts w:ascii="仿宋" w:hAnsi="仿宋" w:eastAsia="仿宋" w:cs="Times New Roman"/>
          <w:sz w:val="32"/>
          <w:szCs w:val="32"/>
        </w:rPr>
        <w:t>万元</w:t>
      </w:r>
      <w:r>
        <w:rPr>
          <w:rFonts w:hint="eastAsia" w:ascii="仿宋" w:hAnsi="仿宋" w:eastAsia="仿宋" w:cs="Times New Roman"/>
          <w:sz w:val="32"/>
          <w:szCs w:val="32"/>
        </w:rPr>
        <w:t>、其他收入0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香河县委宣传部</w:t>
      </w:r>
      <w:r>
        <w:rPr>
          <w:rFonts w:ascii="仿宋" w:hAnsi="仿宋" w:eastAsia="仿宋" w:cs="Times New Roman"/>
          <w:sz w:val="32"/>
          <w:szCs w:val="32"/>
        </w:rPr>
        <w:t>年度部门预算中支出预算的总体情况。</w:t>
      </w:r>
      <w:r>
        <w:rPr>
          <w:rFonts w:hint="eastAsia" w:ascii="仿宋" w:hAnsi="仿宋" w:eastAsia="仿宋" w:cs="Times New Roman"/>
          <w:sz w:val="32"/>
          <w:szCs w:val="32"/>
          <w:lang w:eastAsia="zh-CN"/>
        </w:rPr>
        <w:t>2019年</w:t>
      </w:r>
      <w:r>
        <w:rPr>
          <w:rFonts w:ascii="仿宋" w:hAnsi="仿宋" w:eastAsia="仿宋" w:cs="Times New Roman"/>
          <w:sz w:val="32"/>
          <w:szCs w:val="32"/>
        </w:rPr>
        <w:t>支出预算</w:t>
      </w:r>
      <w:r>
        <w:rPr>
          <w:rFonts w:hint="eastAsia" w:ascii="仿宋" w:hAnsi="仿宋" w:eastAsia="仿宋" w:cs="Times New Roman"/>
          <w:sz w:val="32"/>
          <w:szCs w:val="32"/>
          <w:lang w:val="en-US" w:eastAsia="zh-CN"/>
        </w:rPr>
        <w:t>1181.07</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457.07</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403.80万元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53.27万元</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724</w:t>
      </w:r>
      <w:r>
        <w:rPr>
          <w:rFonts w:ascii="仿宋" w:hAnsi="仿宋" w:eastAsia="仿宋" w:cs="Times New Roman"/>
          <w:sz w:val="32"/>
          <w:szCs w:val="32"/>
        </w:rPr>
        <w:t>万元，包括本级支出</w:t>
      </w:r>
      <w:r>
        <w:rPr>
          <w:rFonts w:hint="eastAsia" w:ascii="仿宋" w:hAnsi="仿宋" w:eastAsia="仿宋" w:cs="Times New Roman"/>
          <w:sz w:val="32"/>
          <w:szCs w:val="32"/>
          <w:lang w:val="en-US" w:eastAsia="zh-CN"/>
        </w:rPr>
        <w:t>724</w:t>
      </w:r>
      <w:r>
        <w:rPr>
          <w:rFonts w:ascii="仿宋" w:hAnsi="仿宋" w:eastAsia="仿宋" w:cs="Times New Roman"/>
          <w:sz w:val="32"/>
          <w:szCs w:val="32"/>
        </w:rPr>
        <w:t>万元和对下补助支出</w:t>
      </w:r>
      <w:r>
        <w:rPr>
          <w:rFonts w:hint="eastAsia" w:ascii="仿宋" w:hAnsi="仿宋" w:eastAsia="仿宋" w:cs="Times New Roman"/>
          <w:sz w:val="32"/>
          <w:szCs w:val="32"/>
        </w:rPr>
        <w:t>0</w:t>
      </w:r>
      <w:r>
        <w:rPr>
          <w:rFonts w:ascii="仿宋" w:hAnsi="仿宋" w:eastAsia="仿宋" w:cs="Times New Roman"/>
          <w:sz w:val="32"/>
          <w:szCs w:val="32"/>
        </w:rPr>
        <w:t>万元，主要为</w:t>
      </w:r>
      <w:r>
        <w:rPr>
          <w:rFonts w:hint="eastAsia" w:ascii="仿宋" w:hAnsi="仿宋" w:eastAsia="仿宋" w:cs="Times New Roman"/>
          <w:sz w:val="32"/>
          <w:szCs w:val="32"/>
        </w:rPr>
        <w:t>创建文明县城、日常宣传工作支出</w:t>
      </w:r>
      <w:r>
        <w:rPr>
          <w:rFonts w:ascii="仿宋" w:hAnsi="仿宋" w:eastAsia="仿宋" w:cs="Times New Roman"/>
          <w:sz w:val="32"/>
          <w:szCs w:val="32"/>
        </w:rPr>
        <w:t>等；上缴上级支出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预算收支安排</w:t>
      </w:r>
      <w:r>
        <w:rPr>
          <w:rFonts w:hint="eastAsia" w:ascii="仿宋" w:hAnsi="仿宋" w:eastAsia="仿宋" w:cs="Times New Roman"/>
          <w:sz w:val="32"/>
          <w:szCs w:val="32"/>
          <w:lang w:val="en-US" w:eastAsia="zh-CN"/>
        </w:rPr>
        <w:t>1181.07</w:t>
      </w:r>
      <w:r>
        <w:rPr>
          <w:rFonts w:ascii="仿宋" w:hAnsi="仿宋" w:eastAsia="仿宋" w:cs="Times New Roman"/>
          <w:sz w:val="32"/>
          <w:szCs w:val="32"/>
        </w:rPr>
        <w:t>万元，较201</w:t>
      </w:r>
      <w:r>
        <w:rPr>
          <w:rFonts w:hint="eastAsia" w:ascii="仿宋" w:hAnsi="仿宋" w:eastAsia="仿宋" w:cs="Times New Roman"/>
          <w:sz w:val="32"/>
          <w:szCs w:val="32"/>
          <w:lang w:val="en-US" w:eastAsia="zh-CN"/>
        </w:rPr>
        <w:t>8</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增加198.83</w:t>
      </w:r>
      <w:r>
        <w:rPr>
          <w:rFonts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44.83</w:t>
      </w:r>
      <w:r>
        <w:rPr>
          <w:rFonts w:ascii="仿宋" w:hAnsi="仿宋" w:eastAsia="仿宋" w:cs="Times New Roman"/>
          <w:sz w:val="32"/>
          <w:szCs w:val="32"/>
        </w:rPr>
        <w:t>万元，主</w:t>
      </w:r>
      <w:r>
        <w:rPr>
          <w:rFonts w:hint="eastAsia" w:ascii="仿宋" w:hAnsi="仿宋" w:eastAsia="仿宋" w:cs="Times New Roman"/>
          <w:sz w:val="32"/>
          <w:szCs w:val="32"/>
        </w:rPr>
        <w:t>要为增加人员经费支出；项目</w:t>
      </w:r>
      <w:r>
        <w:rPr>
          <w:rFonts w:ascii="仿宋" w:hAnsi="仿宋" w:eastAsia="仿宋" w:cs="Times New Roman"/>
          <w:sz w:val="32"/>
          <w:szCs w:val="32"/>
        </w:rPr>
        <w:t>支出</w:t>
      </w:r>
      <w:r>
        <w:rPr>
          <w:rFonts w:hint="eastAsia" w:ascii="仿宋" w:hAnsi="仿宋" w:eastAsia="仿宋" w:cs="Times New Roman"/>
          <w:sz w:val="32"/>
          <w:szCs w:val="32"/>
          <w:lang w:val="en-US" w:eastAsia="zh-CN"/>
        </w:rPr>
        <w:t>增加154</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主要</w:t>
      </w:r>
      <w:r>
        <w:rPr>
          <w:rFonts w:ascii="仿宋" w:hAnsi="仿宋" w:eastAsia="仿宋" w:cs="Times New Roman"/>
          <w:sz w:val="32"/>
          <w:szCs w:val="32"/>
        </w:rPr>
        <w:t>为</w:t>
      </w:r>
      <w:r>
        <w:rPr>
          <w:rFonts w:hint="eastAsia" w:ascii="仿宋" w:hAnsi="仿宋" w:eastAsia="仿宋" w:cs="Times New Roman"/>
          <w:sz w:val="32"/>
          <w:szCs w:val="32"/>
        </w:rPr>
        <w:t>创建文明县城、日常宣传工作支出</w:t>
      </w:r>
      <w:r>
        <w:rPr>
          <w:rFonts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53.27</w:t>
      </w:r>
      <w:r>
        <w:rPr>
          <w:rFonts w:hint="eastAsia" w:ascii="仿宋" w:hAnsi="仿宋" w:eastAsia="仿宋" w:cs="Times New Roman"/>
          <w:sz w:val="32"/>
          <w:szCs w:val="32"/>
        </w:rPr>
        <w:t>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ind w:left="198" w:firstLine="640" w:firstLineChars="200"/>
        <w:rPr>
          <w:rFonts w:ascii="仿宋" w:hAnsi="仿宋" w:eastAsia="仿宋" w:cs="Times New Roman"/>
          <w:sz w:val="32"/>
          <w:szCs w:val="32"/>
        </w:rPr>
      </w:pPr>
      <w:r>
        <w:rPr>
          <w:rFonts w:hint="eastAsia" w:ascii="仿宋" w:hAnsi="仿宋" w:eastAsia="仿宋" w:cs="Times New Roman"/>
          <w:sz w:val="32"/>
          <w:szCs w:val="32"/>
          <w:lang w:eastAsia="zh-CN"/>
        </w:rPr>
        <w:t>2019年</w:t>
      </w:r>
      <w:r>
        <w:rPr>
          <w:rFonts w:ascii="仿宋" w:hAnsi="仿宋" w:eastAsia="仿宋" w:cs="Times New Roman"/>
          <w:sz w:val="32"/>
          <w:szCs w:val="32"/>
        </w:rPr>
        <w:t>，</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31.15</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31.15</w:t>
      </w:r>
      <w:r>
        <w:rPr>
          <w:rFonts w:ascii="仿宋" w:hAnsi="仿宋" w:eastAsia="仿宋" w:cs="Times New Roman"/>
          <w:sz w:val="32"/>
          <w:szCs w:val="32"/>
        </w:rPr>
        <w:t>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和财政专户核拨资金0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w:t>
      </w: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年持平</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无增减变动</w:t>
      </w:r>
      <w:r>
        <w:rPr>
          <w:rFonts w:hint="eastAsia"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25.65</w:t>
      </w:r>
      <w:r>
        <w:rPr>
          <w:rFonts w:hint="eastAsia"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18</w:t>
      </w:r>
      <w:r>
        <w:rPr>
          <w:rFonts w:hint="eastAsia" w:ascii="仿宋" w:hAnsi="仿宋" w:eastAsia="仿宋" w:cs="Times New Roman"/>
          <w:sz w:val="32"/>
          <w:szCs w:val="32"/>
        </w:rPr>
        <w:t>万元，公务用车运行费6.65万元)，与201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增加18万元，主要原因是原有公车已到达年限，购置新公务用车</w:t>
      </w:r>
      <w:r>
        <w:rPr>
          <w:rFonts w:hint="eastAsia" w:ascii="仿宋" w:hAnsi="仿宋" w:eastAsia="仿宋" w:cs="Times New Roman"/>
          <w:sz w:val="32"/>
          <w:szCs w:val="32"/>
        </w:rPr>
        <w:t>；公务接待费5.5万元，与201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年持平，无增减变动。</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spacing w:line="560" w:lineRule="exact"/>
        <w:ind w:left="198"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牢牢掌握意识形态工作领导权、管理权、话语权，弘扬主旋律，汇聚正能量，为全县经济社会发展提供有力的思想保证、精神动力、舆论支持；提升理论研究水平，为全县经济社会发展提供理论支持；提高干部群众运用科学理论解决实际问题能力；增强广大干部群众理论自信、道路自信、制度自信，不断巩固全县人民团结奋斗的共同思想基础，完成思想政治工作重大任务，推进社会主义核心价值观落地生根；充分展示本县良好形象，不断提高知名度、美誉度。牢牢把握正确导向，为全县经济社会发展提供有力的舆论支持；提升新闻工作者的政治意识、责任意识和职业素养；提高舆情研判能力和信息服务水平，及时化解、妥善处理有关负面舆情。完善互联网管理领导体制，加强网上舆论引导，营造良好网络舆论氛围，发展健康向上网络文化。全县城乡文明程度显著提升，和谐向善的社会风气逐步形成。进一步解放和发展文化生产力，推动全县文化事业和文化产业健康发展，推动全县文化艺术健康发展；确保各项业务工作谋划到位、顺利开展。保障机关工作正常高效运转。</w:t>
      </w:r>
    </w:p>
    <w:p>
      <w:pPr>
        <w:jc w:val="center"/>
        <w:outlineLvl w:val="0"/>
        <w:rPr>
          <w:rFonts w:ascii="方正小标宋_GBK" w:eastAsia="方正小标宋_GBK"/>
          <w:color w:val="FFFFFF"/>
          <w:sz w:val="32"/>
        </w:rPr>
      </w:pPr>
      <w:bookmarkStart w:id="1" w:name="_Toc2843953"/>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211</w:t>
            </w:r>
            <w:r>
              <w:rPr>
                <w:rFonts w:hint="eastAsia" w:ascii="方正小标宋_GBK" w:eastAsia="方正小标宋_GBK"/>
                <w:sz w:val="24"/>
              </w:rPr>
              <w:t>县宣传部</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一、宣传思想工作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528.00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导全县宣传工作，指导全县理论研究、理论学习、理论宣传工作；宏观指导精神产品创作生产；规划组织思想政治工作；指导协调宣传思想文化事业发展和外宣事业发展；加强舆论舆情引导管理；宏观指导协调互联网宣传和信息内容管理；加强精神文明建设。</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牢牢掌握意识形态工作领导权、管理权、话语权，弘扬主旋律，汇聚正能量，为全县经济社会发展提供有力的思想保证、精神动力、舆论支持。</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、思想理论建设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深入实施马克思主义理论研究和建设工程，深化中国特色社会主义和中国梦研究；深入学习宣传习近平总书记系列重要讲话；广泛开展理论宣传活动。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理论研究课题成果数量</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在新闻媒体开办理论宣传专栏数量</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组织中心组学习次数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、思想政治工作</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规划、部署全县思想政治工作任务，培育和践行社会主义核心价值观，宣传推广全县性先进典型，加强爱国主义教育基地建设和全民国防教育，加强基层党员教育，组织开展系列宣传教育活动。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完成思想政治工作重大任务，推进社会主义核心价值观落地生根。</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爱国主义教育基地参观学习人数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社会主义核心价值观内容普及率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组织开展主题宣传教育活动（次）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、对外宣传事业</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110.00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制订对外宣传事业发展规划，加强和改进新闻发布工作，扩大对外宣传，深化文化交流合作，开展多种形式的文化交流活动。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充分展示本县良好形象，不断提高知名度、美誉度。</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举办全县新闻发言人、新闻写作等主题培训班次数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组织召开系列主题新闻发布会</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组织省市媒体采访、宣传次数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、舆论舆情引导管理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指导协调新闻舆论工作，组织系列主题新闻宣传，开展新闻业务调研评议；抓好新闻管理制度和措施落实；围绕社会热点敏感问题、突发事件，正确引导社会心态；组织开展舆情信息收集、分析、研判。</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牢牢把握正确导向，为全县经济社会发展提供有力的舆论支持；提升新闻工作者的政治意识、责任意识和职业素养；提高舆情研判能力和信息服务水平，及时化解、妥善处理有关负面舆情。</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舆情信息收集、分析、上报数量</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1400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突发事件新闻处置完成率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在市级以上媒体播发宣传本县稿件篇数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、互联网宣传和信息内容管理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加强网络安全和信息化工作，加强互联网宣传和信息内容管理，加强网络文化建设。</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完善互联网管理领导体制，加强网上舆论引导，营造良好网络舆论氛围，发展健康向上网络文化。</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重大涉冀舆情监测覆盖率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举办全县网评员培训班次数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互联网重大突发事件应急处置率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组织开展网络宣传活动比率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、精神文明建设</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312.00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规划部署全县精神文明创建工作，组织指导全县群众性精神文明创建活动。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全县城乡文明程度显著提升，和谐向善的社会风气逐步形成。</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开展主题志愿服务活动次数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组织开展精神文明创建活动次数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二、推动文化发展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深化文化体制改革，构建现代公共文化服务体系；加强精神文化产品创作生产。</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进一步解放和发展文化生产力，推动全县文化事业和文化产业健康发展。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、文化事业产业发展</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73.00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研究制定全县文化发展方针政策，管理县级各类文化发展专项资金和基金，支持重点文化项目建设，加强文化招商，推动文化事业产业健康发展。</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推动文化事业繁荣和文化产业快速发展。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文化事业产业类资金撬动社会资金比例</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全县文化产业增加值年增速</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、文化艺术发展</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研究制定全县文化艺术发展的指导方针，构建现代公共文化服务体系，加强精神文化产品创作生产，传承和保护优秀传统文化，推动文化艺术健康发展。</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推动全县文化艺术健康发展。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由我县主导创作生产的在全市范围产生影响力的文艺精品数量</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举办县内外文化交流活动（次）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组织系列文化活动数量（次）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三、宣传事务管理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123.00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105.00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制定全县宣传思想文化发展规划和政策制度并组织实施，开展宣传文化业务管理，加强政策业务宣传等。</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规划、制度完成率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重点工作督察督办率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开展会议组织管理、财务资产管理、干部人才队伍建设、机关党建等工作。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保障机关工作正常高效运转。</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jc w:val="left"/>
        <w:rPr>
          <w:rFonts w:ascii="宋体" w:eastAsia="宋体" w:cs="宋体"/>
          <w:kern w:val="0"/>
          <w:sz w:val="18"/>
          <w:szCs w:val="18"/>
          <w:lang w:val="zh-CN"/>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autoSpaceDE w:val="0"/>
        <w:autoSpaceDN w:val="0"/>
        <w:adjustRightInd w:val="0"/>
        <w:ind w:left="198" w:firstLine="640" w:firstLineChars="200"/>
        <w:jc w:val="left"/>
        <w:rPr>
          <w:rFonts w:hint="eastAsia" w:ascii="仿宋" w:hAnsi="仿宋" w:eastAsia="仿宋" w:cs="Times New Roman"/>
          <w:sz w:val="32"/>
          <w:szCs w:val="32"/>
        </w:rPr>
      </w:pPr>
      <w:bookmarkStart w:id="2" w:name="_Toc471398468"/>
      <w:r>
        <w:rPr>
          <w:rFonts w:cs="Times New Roman" w:asciiTheme="minorEastAsia" w:hAnsiTheme="minorEastAsia"/>
          <w:sz w:val="32"/>
          <w:szCs w:val="32"/>
        </w:rPr>
        <w:t xml:space="preserve">  </w:t>
      </w:r>
      <w:bookmarkEnd w:id="2"/>
      <w:r>
        <w:rPr>
          <w:rFonts w:cs="Times New Roman" w:asciiTheme="minorEastAsia" w:hAnsiTheme="minorEastAsia"/>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lang w:eastAsia="zh-CN"/>
        </w:rPr>
        <w:t>2019年</w:t>
      </w:r>
      <w:r>
        <w:rPr>
          <w:rFonts w:ascii="仿宋" w:hAnsi="仿宋" w:eastAsia="仿宋" w:cs="Times New Roman"/>
          <w:sz w:val="32"/>
          <w:szCs w:val="32"/>
        </w:rPr>
        <w:t>，</w:t>
      </w:r>
      <w:r>
        <w:rPr>
          <w:rFonts w:hint="eastAsia" w:ascii="仿宋" w:hAnsi="仿宋" w:eastAsia="仿宋" w:cs="Times New Roman"/>
          <w:sz w:val="32"/>
          <w:szCs w:val="32"/>
        </w:rPr>
        <w:t>本部门没有</w:t>
      </w:r>
      <w:r>
        <w:rPr>
          <w:rFonts w:ascii="仿宋" w:hAnsi="仿宋" w:eastAsia="仿宋" w:cs="Times New Roman"/>
          <w:sz w:val="32"/>
          <w:szCs w:val="32"/>
        </w:rPr>
        <w:t>安排政府采购预算</w:t>
      </w:r>
      <w:r>
        <w:rPr>
          <w:rFonts w:hint="eastAsia" w:ascii="仿宋" w:hAnsi="仿宋" w:eastAsia="仿宋" w:cs="Times New Roman"/>
          <w:sz w:val="32"/>
          <w:szCs w:val="32"/>
        </w:rPr>
        <w:t>。</w:t>
      </w:r>
    </w:p>
    <w:p>
      <w:pPr>
        <w:jc w:val="center"/>
        <w:outlineLvl w:val="0"/>
        <w:rPr>
          <w:rFonts w:ascii="宋体" w:hAns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sz w:val="24"/>
                <w:szCs w:val="24"/>
              </w:rPr>
            </w:pPr>
            <w:r>
              <w:rPr>
                <w:rFonts w:hint="eastAsia" w:ascii="方正小标宋_GBK" w:hAnsi="Times New Roman" w:eastAsia="方正小标宋_GBK"/>
                <w:sz w:val="18"/>
                <w:szCs w:val="18"/>
              </w:rPr>
              <w:t>211香河县宣传部</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香河县委宣传部（含所属单位）上年末固定资产金额为</w:t>
      </w:r>
      <w:r>
        <w:rPr>
          <w:rFonts w:hint="eastAsia" w:ascii="仿宋" w:hAnsi="仿宋" w:eastAsia="仿宋" w:cs="Times New Roman"/>
          <w:sz w:val="32"/>
          <w:szCs w:val="32"/>
          <w:lang w:val="en-US" w:eastAsia="zh-CN"/>
        </w:rPr>
        <w:t>49.96</w:t>
      </w:r>
      <w:r>
        <w:rPr>
          <w:rFonts w:hint="eastAsia" w:ascii="仿宋" w:hAnsi="仿宋" w:eastAsia="仿宋" w:cs="Times New Roman"/>
          <w:sz w:val="32"/>
          <w:szCs w:val="32"/>
        </w:rPr>
        <w:t>万元，本年度各单位（处室）拟购置固定资产主要为计算机设备、打印设备、空调、办公家具等，已列入政府采购预算。详见下表。</w:t>
      </w:r>
    </w:p>
    <w:p>
      <w:pPr>
        <w:ind w:firstLine="640"/>
        <w:rPr>
          <w:rFonts w:ascii="仿宋" w:hAnsi="仿宋" w:eastAsia="仿宋"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编制部门：香河县委宣传部</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18</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49.96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35.96</w:t>
            </w:r>
            <w:bookmarkStart w:id="3" w:name="_GoBack"/>
            <w:bookmarkEnd w:id="3"/>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4"/>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4"/>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4"/>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2C85"/>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A0B4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9D78FD"/>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C676BD8"/>
    <w:rsid w:val="0DCE3636"/>
    <w:rsid w:val="10626C6B"/>
    <w:rsid w:val="12E002D7"/>
    <w:rsid w:val="28E56F3A"/>
    <w:rsid w:val="2C105A56"/>
    <w:rsid w:val="31CB2AC6"/>
    <w:rsid w:val="36E56C15"/>
    <w:rsid w:val="394233B4"/>
    <w:rsid w:val="3AE55E6A"/>
    <w:rsid w:val="3C5760F6"/>
    <w:rsid w:val="3E0433C6"/>
    <w:rsid w:val="3F1C0E61"/>
    <w:rsid w:val="3F1D4B93"/>
    <w:rsid w:val="428D5148"/>
    <w:rsid w:val="472746D2"/>
    <w:rsid w:val="48856F2C"/>
    <w:rsid w:val="4E3D6E58"/>
    <w:rsid w:val="4F8D7056"/>
    <w:rsid w:val="575549B9"/>
    <w:rsid w:val="5AB36C6D"/>
    <w:rsid w:val="5C037409"/>
    <w:rsid w:val="60345B64"/>
    <w:rsid w:val="628563F7"/>
    <w:rsid w:val="67260247"/>
    <w:rsid w:val="690F5343"/>
    <w:rsid w:val="6FA764A5"/>
    <w:rsid w:val="6FAD790C"/>
    <w:rsid w:val="719C3686"/>
    <w:rsid w:val="75DB1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6"/>
    <w:unhideWhenUsed/>
    <w:qFormat/>
    <w:uiPriority w:val="99"/>
    <w:rPr>
      <w:rFonts w:ascii="宋体" w:hAnsi="Courier New" w:eastAsia="宋体" w:cs="Courier New"/>
      <w:szCs w:val="21"/>
    </w:rPr>
  </w:style>
  <w:style w:type="paragraph" w:styleId="3">
    <w:name w:val="footer"/>
    <w:basedOn w:val="1"/>
    <w:link w:val="1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footnote text"/>
    <w:basedOn w:val="1"/>
    <w:semiHidden/>
    <w:qFormat/>
    <w:uiPriority w:val="0"/>
    <w:pPr>
      <w:snapToGrid w:val="0"/>
      <w:jc w:val="left"/>
    </w:pPr>
    <w:rPr>
      <w:sz w:val="18"/>
      <w:szCs w:val="18"/>
    </w:rPr>
  </w:style>
  <w:style w:type="paragraph" w:styleId="7">
    <w:name w:val="toc 2"/>
    <w:basedOn w:val="1"/>
    <w:next w:val="1"/>
    <w:qFormat/>
    <w:uiPriority w:val="0"/>
    <w:pPr>
      <w:ind w:left="420" w:leftChars="200"/>
    </w:pPr>
    <w:rPr>
      <w:rFonts w:ascii="Times New Roman" w:hAnsi="Times New Roman" w:eastAsia="宋体" w:cs="Times New Roman"/>
      <w:szCs w:val="24"/>
    </w:rPr>
  </w:style>
  <w:style w:type="character" w:styleId="10">
    <w:name w:val="page number"/>
    <w:basedOn w:val="9"/>
    <w:uiPriority w:val="0"/>
  </w:style>
  <w:style w:type="character" w:styleId="11">
    <w:name w:val="footnote reference"/>
    <w:basedOn w:val="9"/>
    <w:semiHidden/>
    <w:uiPriority w:val="0"/>
    <w:rPr>
      <w:vertAlign w:val="superscript"/>
    </w:rPr>
  </w:style>
  <w:style w:type="character" w:customStyle="1" w:styleId="12">
    <w:name w:val="页眉 Char"/>
    <w:basedOn w:val="9"/>
    <w:link w:val="4"/>
    <w:qFormat/>
    <w:uiPriority w:val="0"/>
    <w:rPr>
      <w:rFonts w:ascii="Times New Roman" w:hAnsi="Times New Roman" w:eastAsia="宋体" w:cs="Times New Roman"/>
      <w:sz w:val="18"/>
      <w:szCs w:val="18"/>
    </w:rPr>
  </w:style>
  <w:style w:type="character" w:customStyle="1" w:styleId="13">
    <w:name w:val="页脚 Char"/>
    <w:basedOn w:val="9"/>
    <w:link w:val="3"/>
    <w:qFormat/>
    <w:uiPriority w:val="0"/>
    <w:rPr>
      <w:rFonts w:ascii="Times New Roman" w:hAnsi="Times New Roman" w:eastAsia="宋体" w:cs="Times New Roman"/>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5">
    <w:name w:val="p0"/>
    <w:basedOn w:val="1"/>
    <w:qFormat/>
    <w:uiPriority w:val="0"/>
    <w:pPr>
      <w:widowControl/>
      <w:spacing w:line="365" w:lineRule="atLeast"/>
      <w:ind w:left="1"/>
    </w:pPr>
    <w:rPr>
      <w:kern w:val="0"/>
      <w:sz w:val="20"/>
      <w:szCs w:val="20"/>
    </w:rPr>
  </w:style>
  <w:style w:type="character" w:customStyle="1" w:styleId="16">
    <w:name w:val="纯文本 Char"/>
    <w:basedOn w:val="9"/>
    <w:link w:val="2"/>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7E0B1-633E-4228-9E76-108EC82E7F7E}">
  <ds:schemaRefs/>
</ds:datastoreItem>
</file>

<file path=docProps/app.xml><?xml version="1.0" encoding="utf-8"?>
<Properties xmlns="http://schemas.openxmlformats.org/officeDocument/2006/extended-properties" xmlns:vt="http://schemas.openxmlformats.org/officeDocument/2006/docPropsVTypes">
  <Template>Normal</Template>
  <Pages>13</Pages>
  <Words>825</Words>
  <Characters>4705</Characters>
  <Lines>39</Lines>
  <Paragraphs>11</Paragraphs>
  <TotalTime>179</TotalTime>
  <ScaleCrop>false</ScaleCrop>
  <LinksUpToDate>false</LinksUpToDate>
  <CharactersWithSpaces>5519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宣传部</cp:lastModifiedBy>
  <dcterms:modified xsi:type="dcterms:W3CDTF">2019-03-14T06:35:56Z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